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8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9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861872" w:rsidP="00861872"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861872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861872">
            <w:r>
              <w:t>Minor Amendment 3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861872">
            <w:r>
              <w:t>25-September-2017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861872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6B5D" w:rsidRPr="00861872" w:rsidRDefault="00861872" w:rsidP="00861872">
            <w:pPr>
              <w:pStyle w:val="Header"/>
              <w:tabs>
                <w:tab w:val="left" w:pos="180"/>
                <w:tab w:val="left" w:pos="5812"/>
                <w:tab w:val="righ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6187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Floor, Room 14 </w:t>
            </w:r>
            <w:r w:rsidRPr="00985AC9">
              <w:rPr>
                <w:sz w:val="22"/>
                <w:szCs w:val="22"/>
              </w:rPr>
              <w:t xml:space="preserve">Adult Critical Care Unit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Royal London Hospital</w:t>
            </w:r>
            <w:r w:rsidRPr="00985AC9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Whitechapel</w:t>
            </w:r>
            <w:r w:rsidRPr="00985AC9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London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861872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861872" w:rsidRDefault="00861872" w:rsidP="00861872">
            <w:pPr>
              <w:pStyle w:val="xmsonormal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872">
              <w:rPr>
                <w:rFonts w:ascii="Arial" w:hAnsi="Arial" w:cs="Arial"/>
                <w:color w:val="000000"/>
                <w:sz w:val="22"/>
                <w:szCs w:val="22"/>
              </w:rPr>
              <w:t>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861872">
            <w:r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861872">
            <w:r>
              <w:t>Queen Mary University of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861872" w:rsidRDefault="00861872" w:rsidP="00861872">
            <w:r w:rsidRPr="00861872">
              <w:rPr>
                <w:iCs/>
              </w:rPr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861872">
            <w:r>
              <w:t xml:space="preserve">Yes 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861872" w:rsidRPr="003D194F" w:rsidRDefault="00861872" w:rsidP="00861872">
            <w:r>
              <w:t>Queen Mary University of London</w:t>
            </w:r>
          </w:p>
          <w:p w:rsidR="00D56B5D" w:rsidRPr="003D194F" w:rsidRDefault="00D56B5D"/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0"/>
          <w:footerReference w:type="default" r:id="rId11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971893" w:rsidRPr="00971893" w:rsidRDefault="00971893" w:rsidP="0085272C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1893">
              <w:rPr>
                <w:lang w:eastAsia="en-GB"/>
              </w:rPr>
              <w:t xml:space="preserve">We have made a change to the What are the possible risks and benefits of taking part? section </w:t>
            </w:r>
            <w:r w:rsidR="0085272C">
              <w:rPr>
                <w:lang w:eastAsia="en-GB"/>
              </w:rPr>
              <w:t xml:space="preserve">in </w:t>
            </w:r>
            <w:r w:rsidRPr="00971893">
              <w:rPr>
                <w:lang w:eastAsia="en-GB"/>
              </w:rPr>
              <w:t>the Patient</w:t>
            </w:r>
            <w:r>
              <w:rPr>
                <w:lang w:eastAsia="en-GB"/>
              </w:rPr>
              <w:t xml:space="preserve"> </w:t>
            </w:r>
            <w:r w:rsidRPr="00971893">
              <w:rPr>
                <w:lang w:eastAsia="en-GB"/>
              </w:rPr>
              <w:t>information sheet referring to the ‘very small risk of a minor heart attack for some patients’.</w:t>
            </w:r>
          </w:p>
          <w:p w:rsidR="00971893" w:rsidRPr="00971893" w:rsidRDefault="00971893" w:rsidP="0085272C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D56B5D" w:rsidRPr="00971893" w:rsidRDefault="00971893" w:rsidP="008527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GB"/>
              </w:rPr>
            </w:pPr>
            <w:r w:rsidRPr="00971893">
              <w:rPr>
                <w:lang w:eastAsia="en-GB"/>
              </w:rPr>
              <w:t xml:space="preserve">The change includes the revised sentence </w:t>
            </w:r>
            <w:r>
              <w:rPr>
                <w:lang w:eastAsia="en-GB"/>
              </w:rPr>
              <w:t>‘</w:t>
            </w:r>
            <w:r w:rsidRPr="00971893">
              <w:rPr>
                <w:lang w:eastAsia="en-GB"/>
              </w:rPr>
              <w:t>Previous research suggests that the treatment we are investigating is</w:t>
            </w:r>
            <w:r>
              <w:rPr>
                <w:lang w:eastAsia="en-GB"/>
              </w:rPr>
              <w:t xml:space="preserve"> </w:t>
            </w:r>
            <w:r w:rsidRPr="00971893">
              <w:rPr>
                <w:lang w:eastAsia="en-GB"/>
              </w:rPr>
              <w:t xml:space="preserve">very safe and should benefit </w:t>
            </w:r>
            <w:r>
              <w:rPr>
                <w:lang w:eastAsia="en-GB"/>
              </w:rPr>
              <w:t>m</w:t>
            </w:r>
            <w:r w:rsidRPr="00971893">
              <w:rPr>
                <w:lang w:eastAsia="en-GB"/>
              </w:rPr>
              <w:t>ost patients. However we would like to collect additional safety information, and you will be closely monitored throughout the study period, to ensure the treatment is safe.’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Pr="003D194F" w:rsidRDefault="00D56B5D" w:rsidP="00971893">
            <w:r w:rsidRPr="003D194F">
              <w:t xml:space="preserve">All sites </w:t>
            </w:r>
          </w:p>
        </w:tc>
        <w:tc>
          <w:tcPr>
            <w:tcW w:w="3402" w:type="dxa"/>
            <w:vMerge w:val="restart"/>
          </w:tcPr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1893">
              <w:rPr>
                <w:lang w:eastAsia="en-GB"/>
              </w:rPr>
              <w:t>Summary of changes to patient information sheet v3.0 1</w:t>
            </w:r>
            <w:r w:rsidR="00EA138E">
              <w:rPr>
                <w:lang w:eastAsia="en-GB"/>
              </w:rPr>
              <w:t>8</w:t>
            </w:r>
            <w:bookmarkStart w:id="0" w:name="_GoBack"/>
            <w:bookmarkEnd w:id="0"/>
            <w:r w:rsidRPr="00971893">
              <w:rPr>
                <w:lang w:eastAsia="en-GB"/>
              </w:rPr>
              <w:t>th</w:t>
            </w:r>
          </w:p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1893">
              <w:rPr>
                <w:lang w:eastAsia="en-GB"/>
              </w:rPr>
              <w:t>September 2017</w:t>
            </w:r>
          </w:p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1893">
              <w:rPr>
                <w:lang w:eastAsia="en-GB"/>
              </w:rPr>
              <w:t xml:space="preserve">Tracked changes of the patient information sheet </w:t>
            </w:r>
          </w:p>
          <w:p w:rsid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D56B5D" w:rsidRPr="003D194F" w:rsidRDefault="00971893" w:rsidP="00971893">
            <w:pPr>
              <w:autoSpaceDE w:val="0"/>
              <w:autoSpaceDN w:val="0"/>
              <w:adjustRightInd w:val="0"/>
            </w:pPr>
            <w:r w:rsidRPr="00971893">
              <w:rPr>
                <w:lang w:eastAsia="en-GB"/>
              </w:rPr>
              <w:t xml:space="preserve">Clean copy of the patient information sheet </w:t>
            </w:r>
          </w:p>
        </w:tc>
        <w:tc>
          <w:tcPr>
            <w:tcW w:w="1559" w:type="dxa"/>
            <w:vMerge w:val="restart"/>
          </w:tcPr>
          <w:p w:rsidR="00D56B5D" w:rsidRDefault="00971893">
            <w:r>
              <w:t>N/A</w:t>
            </w:r>
          </w:p>
          <w:p w:rsidR="00971893" w:rsidRDefault="00971893"/>
          <w:p w:rsidR="00971893" w:rsidRDefault="00971893"/>
          <w:p w:rsidR="00971893" w:rsidRDefault="00971893"/>
          <w:p w:rsidR="00971893" w:rsidRDefault="00971893">
            <w:r>
              <w:t>v3.0, 18</w:t>
            </w:r>
            <w:r w:rsidRPr="00971893">
              <w:rPr>
                <w:vertAlign w:val="superscript"/>
              </w:rPr>
              <w:t>th</w:t>
            </w:r>
            <w:r>
              <w:t xml:space="preserve"> September 2017 </w:t>
            </w:r>
          </w:p>
          <w:p w:rsidR="00971893" w:rsidRDefault="00971893"/>
          <w:p w:rsidR="00971893" w:rsidRPr="00971893" w:rsidRDefault="00971893" w:rsidP="0097189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1893">
              <w:rPr>
                <w:lang w:eastAsia="en-GB"/>
              </w:rPr>
              <w:t>v3.0 18th September</w:t>
            </w:r>
          </w:p>
          <w:p w:rsidR="00971893" w:rsidRPr="003D194F" w:rsidRDefault="00971893" w:rsidP="00971893">
            <w:r w:rsidRPr="00971893">
              <w:rPr>
                <w:lang w:eastAsia="en-GB"/>
              </w:rPr>
              <w:t>2017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971893" w:rsidP="00971893">
            <w:r>
              <w:t>N/A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 w:rsidP="00971893">
            <w:r w:rsidRPr="003D194F">
              <w:t xml:space="preserve">All sites 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971893" w:rsidP="00971893">
            <w:r>
              <w:t>All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861872">
              <w:rPr>
                <w:noProof/>
                <w:lang w:eastAsia="en-GB"/>
              </w:rPr>
              <w:drawing>
                <wp:inline distT="0" distB="0" distL="0" distR="0">
                  <wp:extent cx="1536700" cy="374650"/>
                  <wp:effectExtent l="0" t="0" r="6350" b="6350"/>
                  <wp:docPr id="1" name="Picture 1" descr="Rupert's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pert's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="00861872">
              <w:rPr>
                <w:sz w:val="20"/>
                <w:szCs w:val="20"/>
              </w:rPr>
              <w:t xml:space="preserve"> 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861872">
              <w:rPr>
                <w:sz w:val="20"/>
                <w:szCs w:val="20"/>
              </w:rPr>
              <w:t xml:space="preserve"> 25-September-2017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B4" w:rsidRDefault="002F50B4">
      <w:r>
        <w:separator/>
      </w:r>
    </w:p>
  </w:endnote>
  <w:endnote w:type="continuationSeparator" w:id="0">
    <w:p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EA138E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EA138E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B4" w:rsidRDefault="002F50B4">
      <w:r>
        <w:separator/>
      </w:r>
    </w:p>
  </w:footnote>
  <w:footnote w:type="continuationSeparator" w:id="0">
    <w:p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F0621"/>
    <w:rsid w:val="00203356"/>
    <w:rsid w:val="002405C2"/>
    <w:rsid w:val="002574F4"/>
    <w:rsid w:val="00290762"/>
    <w:rsid w:val="002A2E2F"/>
    <w:rsid w:val="002F50B4"/>
    <w:rsid w:val="00317A08"/>
    <w:rsid w:val="0033126A"/>
    <w:rsid w:val="00341876"/>
    <w:rsid w:val="0035663E"/>
    <w:rsid w:val="00364290"/>
    <w:rsid w:val="00391E33"/>
    <w:rsid w:val="00395EBB"/>
    <w:rsid w:val="003B44B6"/>
    <w:rsid w:val="003C6DFA"/>
    <w:rsid w:val="003D194F"/>
    <w:rsid w:val="003F3D1A"/>
    <w:rsid w:val="003F4977"/>
    <w:rsid w:val="00415879"/>
    <w:rsid w:val="00416288"/>
    <w:rsid w:val="00417AD4"/>
    <w:rsid w:val="004737B1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5272C"/>
    <w:rsid w:val="00861872"/>
    <w:rsid w:val="00882781"/>
    <w:rsid w:val="008A305A"/>
    <w:rsid w:val="008B43ED"/>
    <w:rsid w:val="008E6E0E"/>
    <w:rsid w:val="009277A0"/>
    <w:rsid w:val="0093460A"/>
    <w:rsid w:val="00934E9B"/>
    <w:rsid w:val="00941028"/>
    <w:rsid w:val="00965DFE"/>
    <w:rsid w:val="00965E9D"/>
    <w:rsid w:val="00971893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74104"/>
    <w:rsid w:val="00C853BB"/>
    <w:rsid w:val="00CB6CCD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138E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9639C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6D2D6F-3857-4C3A-9E88-34FC692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61872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618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5879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research-community/during-your-research-project/amend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CCCB-C437-4066-ABF9-4473DC70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Priyanthi Dias</cp:lastModifiedBy>
  <cp:revision>2</cp:revision>
  <cp:lastPrinted>2014-02-25T14:30:00Z</cp:lastPrinted>
  <dcterms:created xsi:type="dcterms:W3CDTF">2017-10-02T12:23:00Z</dcterms:created>
  <dcterms:modified xsi:type="dcterms:W3CDTF">2017-10-02T12:23:00Z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